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26" w:rsidRDefault="00591F26">
      <w:r>
        <w:rPr>
          <w:noProof/>
        </w:rPr>
      </w:r>
      <w:r>
        <w:pict>
          <v:group id="_x0000_s1026" editas="canvas" style="width:531.45pt;height:630pt;mso-position-horizontal-relative:char;mso-position-vertical-relative:line" coordorigin="1149,2294" coordsize="10629,126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149;top:2294;width:10629;height:12600" o:preferrelative="f">
              <v:fill o:detectmouseclick="t"/>
              <v:path o:extrusionok="t" o:connecttype="none"/>
              <o:lock v:ext="edit" text="t"/>
            </v:shape>
            <v:rect id="_x0000_s1028" style="position:absolute;left:4570;top:2654;width:2878;height:540">
              <v:textbox style="mso-next-textbox:#_x0000_s1028">
                <w:txbxContent>
                  <w:p w:rsidR="00591F26" w:rsidRDefault="00591F26" w:rsidP="00571F0F">
                    <w:pPr>
                      <w:jc w:val="center"/>
                    </w:pPr>
                    <w:r>
                      <w:t>Обращение гражданина</w:t>
                    </w:r>
                  </w:p>
                </w:txbxContent>
              </v:textbox>
            </v:rect>
            <v:rect id="_x0000_s1029" style="position:absolute;left:1149;top:3914;width:1620;height:540">
              <v:textbox style="mso-next-textbox:#_x0000_s1029">
                <w:txbxContent>
                  <w:p w:rsidR="00591F26" w:rsidRDefault="00591F26" w:rsidP="00571F0F">
                    <w:pPr>
                      <w:jc w:val="center"/>
                    </w:pPr>
                    <w:r>
                      <w:t>Почтой</w:t>
                    </w:r>
                  </w:p>
                  <w:p w:rsidR="00591F26" w:rsidRDefault="00591F26" w:rsidP="00571F0F"/>
                </w:txbxContent>
              </v:textbox>
            </v:rect>
            <v:rect id="_x0000_s1030" style="position:absolute;left:2949;top:3914;width:1259;height:540">
              <v:textbox style="mso-next-textbox:#_x0000_s1030">
                <w:txbxContent>
                  <w:p w:rsidR="00591F26" w:rsidRDefault="00591F26" w:rsidP="00571F0F">
                    <w:pPr>
                      <w:jc w:val="center"/>
                    </w:pPr>
                    <w:r>
                      <w:t>Лично</w:t>
                    </w:r>
                  </w:p>
                  <w:p w:rsidR="00591F26" w:rsidRDefault="00591F26" w:rsidP="00571F0F"/>
                </w:txbxContent>
              </v:textbox>
            </v:rect>
            <v:rect id="_x0000_s1031" style="position:absolute;left:7089;top:3914;width:1259;height:540">
              <v:textbox style="mso-next-textbox:#_x0000_s1031">
                <w:txbxContent>
                  <w:p w:rsidR="00591F26" w:rsidRDefault="00591F26" w:rsidP="00571F0F">
                    <w:pPr>
                      <w:jc w:val="center"/>
                    </w:pPr>
                    <w:r>
                      <w:t>Факсом</w:t>
                    </w:r>
                  </w:p>
                </w:txbxContent>
              </v:textbox>
            </v:rect>
            <v:rect id="_x0000_s1032" style="position:absolute;left:8528;top:3914;width:2701;height:540">
              <v:textbox style="mso-next-textbox:#_x0000_s1032">
                <w:txbxContent>
                  <w:p w:rsidR="00591F26" w:rsidRDefault="00591F26" w:rsidP="00571F0F">
                    <w:r>
                      <w:t>В ходе личного приема</w:t>
                    </w:r>
                  </w:p>
                </w:txbxContent>
              </v:textbox>
            </v:rect>
            <v:rect id="_x0000_s1033" style="position:absolute;left:4389;top:3914;width:2520;height:540">
              <v:textbox style="mso-next-textbox:#_x0000_s1033">
                <w:txbxContent>
                  <w:p w:rsidR="00591F26" w:rsidRDefault="00591F26" w:rsidP="00571F0F">
                    <w:r>
                      <w:t>Электронной почтой</w:t>
                    </w:r>
                  </w:p>
                </w:txbxContent>
              </v:textbox>
            </v:rect>
            <v:rect id="_x0000_s1034" style="position:absolute;left:1149;top:5174;width:6660;height:1080">
              <v:textbox style="mso-next-textbox:#_x0000_s1034">
                <w:txbxContent>
                  <w:p w:rsidR="00591F26" w:rsidRDefault="00591F26" w:rsidP="00571F0F">
                    <w:pPr>
                      <w:jc w:val="center"/>
                    </w:pPr>
                    <w:r>
                      <w:t xml:space="preserve">Прием, регистрация </w:t>
                    </w:r>
                  </w:p>
                </w:txbxContent>
              </v:textbox>
            </v:rect>
            <v:rect id="_x0000_s1035" style="position:absolute;left:8348;top:5174;width:2881;height:1080">
              <v:textbox style="mso-next-textbox:#_x0000_s1035">
                <w:txbxContent>
                  <w:p w:rsidR="00591F26" w:rsidRDefault="00591F26" w:rsidP="00571F0F">
                    <w:pPr>
                      <w:jc w:val="center"/>
                    </w:pPr>
                    <w:r>
                      <w:t>Рассмотрение обращения гражданина в ходе личного приема</w:t>
                    </w:r>
                  </w:p>
                  <w:p w:rsidR="00591F26" w:rsidRDefault="00591F26" w:rsidP="00571F0F"/>
                </w:txbxContent>
              </v:textbox>
            </v:rect>
            <v:rect id="_x0000_s1036" style="position:absolute;left:1149;top:8714;width:6660;height:720">
              <v:textbox style="mso-next-textbox:#_x0000_s1036">
                <w:txbxContent>
                  <w:p w:rsidR="00591F26" w:rsidRPr="00A62770" w:rsidRDefault="00591F26" w:rsidP="00571F0F">
                    <w:pPr>
                      <w:jc w:val="center"/>
                    </w:pPr>
                    <w:r>
                      <w:t>Направление на рассмотрение уполномоченному должностному лицу</w:t>
                    </w:r>
                  </w:p>
                </w:txbxContent>
              </v:textbox>
            </v:rect>
            <v:rect id="_x0000_s1037" style="position:absolute;left:8348;top:6974;width:2881;height:720">
              <v:textbox style="mso-next-textbox:#_x0000_s1037">
                <w:txbxContent>
                  <w:p w:rsidR="00591F26" w:rsidRDefault="00591F26" w:rsidP="00571F0F">
                    <w:pPr>
                      <w:jc w:val="center"/>
                    </w:pPr>
                    <w:r>
                      <w:t>Разъяснение, устный ответ гражданину</w:t>
                    </w:r>
                  </w:p>
                </w:txbxContent>
              </v:textbox>
            </v:rect>
            <v:rect id="_x0000_s1038" style="position:absolute;left:3849;top:9915;width:3960;height:540">
              <v:textbox style="mso-next-textbox:#_x0000_s1038">
                <w:txbxContent>
                  <w:p w:rsidR="00591F26" w:rsidRPr="00A62770" w:rsidRDefault="00591F26" w:rsidP="00571F0F">
                    <w:pPr>
                      <w:jc w:val="center"/>
                    </w:pPr>
                    <w:r>
                      <w:t>Рассмотрение обращения</w:t>
                    </w:r>
                  </w:p>
                </w:txbxContent>
              </v:textbox>
            </v:rect>
            <v:rect id="_x0000_s1039" style="position:absolute;left:1149;top:11054;width:2880;height:1080">
              <v:textbox style="mso-next-textbox:#_x0000_s1039">
                <w:txbxContent>
                  <w:p w:rsidR="00591F26" w:rsidRPr="00A62770" w:rsidRDefault="00591F26" w:rsidP="00571F0F">
                    <w:pPr>
                      <w:ind w:right="-129"/>
                    </w:pPr>
                    <w:r>
                      <w:t>Отказ в рассмотрении обращения по существу, уведомление гражданина</w:t>
                    </w:r>
                  </w:p>
                </w:txbxContent>
              </v:textbox>
            </v:rect>
            <v:rect id="_x0000_s1040" style="position:absolute;left:7629;top:10995;width:3600;height:1079">
              <v:textbox style="mso-next-textbox:#_x0000_s1040">
                <w:txbxContent>
                  <w:p w:rsidR="00591F26" w:rsidRPr="00A62770" w:rsidRDefault="00591F26" w:rsidP="00571F0F">
                    <w:pPr>
                      <w:jc w:val="center"/>
                    </w:pPr>
                    <w:r>
                      <w:t>Уведомление гражданина в случае продления срока рассмотрения обращения</w:t>
                    </w:r>
                  </w:p>
                </w:txbxContent>
              </v:textbox>
            </v:rect>
            <v:rect id="_x0000_s1041" style="position:absolute;left:4749;top:10995;width:2339;height:539">
              <v:textbox style="mso-next-textbox:#_x0000_s1041">
                <w:txbxContent>
                  <w:p w:rsidR="00591F26" w:rsidRDefault="00591F26" w:rsidP="00571F0F">
                    <w:pPr>
                      <w:jc w:val="center"/>
                    </w:pPr>
                    <w:r>
                      <w:t xml:space="preserve">Подготовка ответа </w:t>
                    </w:r>
                  </w:p>
                </w:txbxContent>
              </v:textbox>
            </v:rect>
            <v:rect id="_x0000_s1042" style="position:absolute;left:8530;top:9133;width:2700;height:1079">
              <v:textbox style="mso-next-textbox:#_x0000_s1042">
                <w:txbxContent>
                  <w:p w:rsidR="00591F26" w:rsidRDefault="00591F26" w:rsidP="00571F0F">
                    <w:pPr>
                      <w:jc w:val="center"/>
                    </w:pPr>
                    <w:r>
                      <w:t>Направление по принадлежности в другие организации</w:t>
                    </w:r>
                  </w:p>
                  <w:p w:rsidR="00591F26" w:rsidRPr="00A62770" w:rsidRDefault="00591F26" w:rsidP="00571F0F">
                    <w:pPr>
                      <w:jc w:val="center"/>
                    </w:pPr>
                    <w:r>
                      <w:t>уведомление гражданина</w:t>
                    </w:r>
                  </w:p>
                </w:txbxContent>
              </v:textbox>
            </v:rect>
            <v:rect id="_x0000_s1043" style="position:absolute;left:4749;top:12254;width:2341;height:720">
              <v:textbox style="mso-next-textbox:#_x0000_s1043">
                <w:txbxContent>
                  <w:p w:rsidR="00591F26" w:rsidRDefault="00591F26" w:rsidP="00571F0F">
                    <w:pPr>
                      <w:jc w:val="center"/>
                    </w:pPr>
                    <w:r>
                      <w:t>Направление ответа гражданину</w:t>
                    </w:r>
                  </w:p>
                </w:txbxContent>
              </v:textbox>
            </v:rect>
            <v:line id="_x0000_s1044" style="position:absolute;flip:x" from="2049,3013" to="4570,3915">
              <v:stroke endarrow="block"/>
            </v:line>
            <v:line id="_x0000_s1045" style="position:absolute;flip:x" from="3670,3194" to="5828,3914">
              <v:stroke endarrow="block"/>
            </v:line>
            <v:line id="_x0000_s1046" style="position:absolute" from="5829,3194" to="5829,3914">
              <v:stroke endarrow="block"/>
            </v:line>
            <v:line id="_x0000_s1047" style="position:absolute" from="5829,3194" to="7629,3914">
              <v:stroke endarrow="block"/>
            </v:line>
            <v:line id="_x0000_s1048" style="position:absolute" from="9789,4454" to="9789,5174">
              <v:stroke endarrow="block"/>
            </v:line>
            <v:line id="_x0000_s1049" style="position:absolute" from="9789,6254" to="9789,6974">
              <v:stroke endarrow="block"/>
            </v:line>
            <v:line id="_x0000_s1050" style="position:absolute" from="2049,4454" to="2049,5174">
              <v:stroke endarrow="block"/>
            </v:line>
            <v:line id="_x0000_s1051" style="position:absolute" from="3670,4454" to="3671,5174">
              <v:stroke endarrow="block"/>
            </v:line>
            <v:line id="_x0000_s1052" style="position:absolute" from="5829,4454" to="5831,5174">
              <v:stroke endarrow="block"/>
            </v:line>
            <v:line id="_x0000_s1053" style="position:absolute" from="7448,4454" to="7451,5174">
              <v:stroke endarrow="block"/>
            </v:line>
            <v:line id="_x0000_s1054" style="position:absolute" from="4570,6254" to="4571,6974">
              <v:stroke endarrow="block"/>
            </v:line>
            <v:line id="_x0000_s1055" style="position:absolute;flip:x" from="7809,5714" to="8348,5714">
              <v:stroke endarrow="block"/>
            </v:line>
            <v:rect id="_x0000_s1056" style="position:absolute;left:1149;top:6974;width:6660;height:1079">
              <v:textbox style="mso-next-textbox:#_x0000_s1056">
                <w:txbxContent>
                  <w:p w:rsidR="00591F26" w:rsidRDefault="00591F26" w:rsidP="00571F0F">
                    <w:pPr>
                      <w:jc w:val="center"/>
                    </w:pPr>
                    <w:r>
                      <w:t xml:space="preserve">Рассмотрение начальником Финансового управления </w:t>
                    </w:r>
                  </w:p>
                </w:txbxContent>
              </v:textbox>
            </v:rect>
            <v:line id="_x0000_s1057" style="position:absolute" from="7809,10095" to="8530,10096">
              <v:stroke endarrow="block"/>
            </v:line>
            <v:line id="_x0000_s1058" style="position:absolute" from="7269,10455" to="9430,10995">
              <v:stroke endarrow="block"/>
            </v:line>
            <v:line id="_x0000_s1059" style="position:absolute;flip:x" from="2588,10455" to="4570,10995">
              <v:stroke endarrow="block"/>
            </v:line>
            <v:line id="_x0000_s1060" style="position:absolute" from="5829,10455" to="5831,10995">
              <v:stroke endarrow="block"/>
            </v:line>
            <v:line id="_x0000_s1061" style="position:absolute" from="5829,11535" to="5831,12254">
              <v:stroke endarrow="block"/>
            </v:line>
            <v:line id="_x0000_s1062" style="position:absolute" from="7448,3013" to="9789,3914">
              <v:stroke endarrow="block"/>
            </v:line>
            <v:line id="_x0000_s1063" style="position:absolute" from="4570,8054" to="4571,8593">
              <v:stroke endarrow="block"/>
            </v:line>
            <v:line id="_x0000_s1064" style="position:absolute" from="5829,9494" to="5830,9854">
              <v:stroke endarrow="block"/>
            </v:line>
            <v:line id="_x0000_s1065" style="position:absolute;flip:x" from="7089,11355" to="7629,11357">
              <v:stroke endarrow="block"/>
            </v:line>
            <w10:anchorlock/>
          </v:group>
        </w:pict>
      </w:r>
    </w:p>
    <w:sectPr w:rsidR="00591F26" w:rsidSect="00CD12D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F26" w:rsidRDefault="00591F26" w:rsidP="00571F0F">
      <w:r>
        <w:separator/>
      </w:r>
    </w:p>
  </w:endnote>
  <w:endnote w:type="continuationSeparator" w:id="1">
    <w:p w:rsidR="00591F26" w:rsidRDefault="00591F26" w:rsidP="00571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F26" w:rsidRDefault="00591F26" w:rsidP="00571F0F">
      <w:r>
        <w:separator/>
      </w:r>
    </w:p>
  </w:footnote>
  <w:footnote w:type="continuationSeparator" w:id="1">
    <w:p w:rsidR="00591F26" w:rsidRDefault="00591F26" w:rsidP="00571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F26" w:rsidRPr="00156A1A" w:rsidRDefault="00591F26" w:rsidP="00571F0F">
    <w:pPr>
      <w:ind w:left="6840"/>
      <w:jc w:val="right"/>
      <w:outlineLvl w:val="1"/>
    </w:pPr>
    <w:r>
      <w:t>Приложение 1</w:t>
    </w:r>
  </w:p>
  <w:p w:rsidR="00591F26" w:rsidRDefault="00591F26" w:rsidP="00571F0F">
    <w:pPr>
      <w:ind w:left="6840"/>
      <w:jc w:val="right"/>
    </w:pPr>
    <w:r>
      <w:t xml:space="preserve">    к Административному регламенту</w:t>
    </w:r>
  </w:p>
  <w:p w:rsidR="00591F26" w:rsidRDefault="00591F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F0F"/>
    <w:rsid w:val="00156A1A"/>
    <w:rsid w:val="00571F0F"/>
    <w:rsid w:val="00591F26"/>
    <w:rsid w:val="00634840"/>
    <w:rsid w:val="008A1B69"/>
    <w:rsid w:val="00A62770"/>
    <w:rsid w:val="00A63C89"/>
    <w:rsid w:val="00B0745B"/>
    <w:rsid w:val="00CD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F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71F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1F0F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71F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1F0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</Words>
  <Characters>25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Сахнова</cp:lastModifiedBy>
  <cp:revision>2</cp:revision>
  <dcterms:created xsi:type="dcterms:W3CDTF">2011-03-24T06:13:00Z</dcterms:created>
  <dcterms:modified xsi:type="dcterms:W3CDTF">2013-01-15T07:03:00Z</dcterms:modified>
</cp:coreProperties>
</file>